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sz w:val="30"/>
          <w:szCs w:val="30"/>
          <w:lang w:val="en-US" w:eastAsia="en-GB"/>
        </w:rPr>
        <w:t>Pupil Premium</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sz w:val="30"/>
          <w:szCs w:val="30"/>
          <w:lang w:val="en-US" w:eastAsia="en-GB"/>
        </w:rPr>
        <w:t>Background:</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In 2011-12 the government launched its Pupil premium funding. This money is sent to schools based on the number of pupils in the school who are eligible for Free Schools Meals (FSM), the number of children who are in care and pupils who belong to forces families. From 2012-13, it has been expanded to include all children who have been eligible for FSM within the last 6 years (the Ever 6 formula).</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This money is allocated to schools to ensure pupils reach their full potential, both academically and socially.</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i/>
          <w:iCs/>
          <w:color w:val="333333"/>
          <w:lang w:val="en-US" w:eastAsia="en-GB"/>
        </w:rPr>
        <w:t xml:space="preserve">At </w:t>
      </w:r>
      <w:proofErr w:type="spellStart"/>
      <w:r w:rsidRPr="0075128B">
        <w:rPr>
          <w:rFonts w:ascii="Calibri" w:eastAsia="Times New Roman" w:hAnsi="Calibri" w:cs="Times New Roman"/>
          <w:i/>
          <w:iCs/>
          <w:color w:val="333333"/>
          <w:lang w:val="en-US" w:eastAsia="en-GB"/>
        </w:rPr>
        <w:t>Wrenbury</w:t>
      </w:r>
      <w:proofErr w:type="spellEnd"/>
      <w:r w:rsidRPr="0075128B">
        <w:rPr>
          <w:rFonts w:ascii="Calibri" w:eastAsia="Times New Roman" w:hAnsi="Calibri" w:cs="Times New Roman"/>
          <w:i/>
          <w:iCs/>
          <w:color w:val="333333"/>
          <w:lang w:val="en-US" w:eastAsia="en-GB"/>
        </w:rPr>
        <w:t xml:space="preserve"> Primary School we ensure that day to day teaching meets the needs of each learner and that clear and useful feedback is given to help pupils achieve their best and know how to improve. Quality first teaching is our first step into ensuring progress for all groups of learners including those with the pupil premium attached to them.</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In 2011-12, the school received £623 per eligible pupil equating to £14 329 in Pupil Premium Funding. We have used this money to support pupils who are:</w:t>
      </w:r>
    </w:p>
    <w:p w:rsidR="0075128B" w:rsidRPr="0075128B" w:rsidRDefault="0075128B" w:rsidP="0075128B">
      <w:pPr>
        <w:numPr>
          <w:ilvl w:val="0"/>
          <w:numId w:val="1"/>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Eligible for Free School Meals (FSM) students</w:t>
      </w:r>
    </w:p>
    <w:p w:rsidR="0075128B" w:rsidRPr="0075128B" w:rsidRDefault="0075128B" w:rsidP="0075128B">
      <w:pPr>
        <w:numPr>
          <w:ilvl w:val="0"/>
          <w:numId w:val="1"/>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Looked after children;</w:t>
      </w:r>
    </w:p>
    <w:p w:rsidR="0075128B" w:rsidRPr="0075128B" w:rsidRDefault="0075128B" w:rsidP="0075128B">
      <w:pPr>
        <w:numPr>
          <w:ilvl w:val="0"/>
          <w:numId w:val="1"/>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Students from other vulnerable groups who are underachieving;</w:t>
      </w:r>
    </w:p>
    <w:p w:rsidR="0075128B" w:rsidRPr="0075128B" w:rsidRDefault="0075128B" w:rsidP="0075128B">
      <w:pPr>
        <w:numPr>
          <w:ilvl w:val="0"/>
          <w:numId w:val="1"/>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Eligible for free school meals and other vulnerable group students who are in danger of underachieving.</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The money has been used to fund several activities and interventions:</w:t>
      </w:r>
    </w:p>
    <w:p w:rsidR="0075128B" w:rsidRPr="0075128B" w:rsidRDefault="0075128B" w:rsidP="0075128B">
      <w:pPr>
        <w:numPr>
          <w:ilvl w:val="0"/>
          <w:numId w:val="2"/>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xml:space="preserve">Emotional support </w:t>
      </w:r>
      <w:proofErr w:type="spellStart"/>
      <w:r w:rsidRPr="0075128B">
        <w:rPr>
          <w:rFonts w:ascii="Calibri" w:eastAsia="Times New Roman" w:hAnsi="Calibri" w:cs="Times New Roman"/>
          <w:color w:val="333333"/>
          <w:lang w:val="en-US" w:eastAsia="en-GB"/>
        </w:rPr>
        <w:t>counselling</w:t>
      </w:r>
      <w:proofErr w:type="spellEnd"/>
    </w:p>
    <w:p w:rsidR="0075128B" w:rsidRPr="0075128B" w:rsidRDefault="0075128B" w:rsidP="0075128B">
      <w:pPr>
        <w:numPr>
          <w:ilvl w:val="0"/>
          <w:numId w:val="2"/>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After school sports clubs for drama, sport ,dance</w:t>
      </w:r>
    </w:p>
    <w:p w:rsidR="0075128B" w:rsidRPr="0075128B" w:rsidRDefault="0075128B" w:rsidP="0075128B">
      <w:pPr>
        <w:numPr>
          <w:ilvl w:val="0"/>
          <w:numId w:val="2"/>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Swimming lessons</w:t>
      </w:r>
    </w:p>
    <w:p w:rsidR="0075128B" w:rsidRPr="0075128B" w:rsidRDefault="0075128B" w:rsidP="0075128B">
      <w:pPr>
        <w:numPr>
          <w:ilvl w:val="0"/>
          <w:numId w:val="2"/>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Educational  visits</w:t>
      </w:r>
    </w:p>
    <w:p w:rsidR="0075128B" w:rsidRPr="0075128B" w:rsidRDefault="0075128B" w:rsidP="0075128B">
      <w:pPr>
        <w:numPr>
          <w:ilvl w:val="0"/>
          <w:numId w:val="2"/>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Educational residential visits</w:t>
      </w:r>
    </w:p>
    <w:p w:rsidR="0075128B" w:rsidRPr="0075128B" w:rsidRDefault="0075128B" w:rsidP="0075128B">
      <w:pPr>
        <w:numPr>
          <w:ilvl w:val="0"/>
          <w:numId w:val="2"/>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Music tuition</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The aims of the interventions and activities are:</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To raise pupil achievement and narrow the gap between the achievement of vulnerable pupils and their peers.</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To maintain excellent attendance and punctuality.</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To increase participation in after school clubs and music lessons and provide access to the full curriculum, including enrichment opportunities for all pupils.</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To develop self- confidence, motivation and relationships with peers</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To engage with school and enjoy access to out of school activities</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Become more independent</w:t>
      </w:r>
    </w:p>
    <w:p w:rsidR="0075128B" w:rsidRPr="0075128B" w:rsidRDefault="0075128B" w:rsidP="0075128B">
      <w:pPr>
        <w:numPr>
          <w:ilvl w:val="0"/>
          <w:numId w:val="3"/>
        </w:num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Develop a wider range of skills and talents and to -raise self- esteem and self belief.</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lastRenderedPageBreak/>
        <w:t>In 2012-13, the school received £900 per eligible pupil equating to £20 700 of Pupil Premium Funding. This funding has supported 25 pupils.  All previous activities and interventions have been sustained.</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Indicative allocations for future years are:</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2013-14:            £27 000</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2014-15:            £34 500</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sz w:val="30"/>
          <w:szCs w:val="30"/>
          <w:lang w:val="en-US" w:eastAsia="en-GB"/>
        </w:rPr>
        <w:t>Impact:</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sz w:val="30"/>
          <w:szCs w:val="30"/>
          <w:u w:val="single"/>
          <w:lang w:val="en-US" w:eastAsia="en-GB"/>
        </w:rPr>
        <w:t>Raising Pupil Achievement:</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Data is based only on Looked after children (LAC) and those entitled to Free School Meals (FSM). This is a small percentage for each cohort.</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lang w:val="en-US" w:eastAsia="en-GB"/>
        </w:rPr>
        <w:t>Key Stage 1:</w:t>
      </w:r>
    </w:p>
    <w:tbl>
      <w:tblPr>
        <w:tblW w:w="0" w:type="auto"/>
        <w:shd w:val="clear" w:color="auto" w:fill="FFF1CA"/>
        <w:tblCellMar>
          <w:left w:w="0" w:type="dxa"/>
          <w:right w:w="0" w:type="dxa"/>
        </w:tblCellMar>
        <w:tblLook w:val="04A0"/>
      </w:tblPr>
      <w:tblGrid>
        <w:gridCol w:w="859"/>
        <w:gridCol w:w="970"/>
        <w:gridCol w:w="1125"/>
        <w:gridCol w:w="971"/>
        <w:gridCol w:w="1125"/>
        <w:gridCol w:w="971"/>
        <w:gridCol w:w="1125"/>
        <w:gridCol w:w="971"/>
        <w:gridCol w:w="1125"/>
      </w:tblGrid>
      <w:tr w:rsidR="0075128B" w:rsidRPr="0075128B" w:rsidTr="0075128B">
        <w:tc>
          <w:tcPr>
            <w:tcW w:w="774" w:type="dxa"/>
            <w:tcBorders>
              <w:top w:val="single" w:sz="8" w:space="0" w:color="auto"/>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tc>
        <w:tc>
          <w:tcPr>
            <w:tcW w:w="8468" w:type="dxa"/>
            <w:gridSpan w:val="8"/>
            <w:tcBorders>
              <w:top w:val="single" w:sz="8" w:space="0" w:color="auto"/>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Average Points Scores (APS) at the end of Year 2.</w:t>
            </w:r>
          </w:p>
        </w:tc>
      </w:tr>
      <w:tr w:rsidR="0075128B" w:rsidRPr="0075128B" w:rsidTr="0075128B">
        <w:tc>
          <w:tcPr>
            <w:tcW w:w="774"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tc>
        <w:tc>
          <w:tcPr>
            <w:tcW w:w="2117"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All subjects</w:t>
            </w:r>
          </w:p>
        </w:tc>
        <w:tc>
          <w:tcPr>
            <w:tcW w:w="2117"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Reading</w:t>
            </w:r>
          </w:p>
        </w:tc>
        <w:tc>
          <w:tcPr>
            <w:tcW w:w="2117"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Writing</w:t>
            </w:r>
          </w:p>
        </w:tc>
        <w:tc>
          <w:tcPr>
            <w:tcW w:w="2117"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Mathematics</w:t>
            </w:r>
          </w:p>
        </w:tc>
      </w:tr>
      <w:tr w:rsidR="0075128B" w:rsidRPr="0075128B" w:rsidTr="0075128B">
        <w:trPr>
          <w:trHeight w:val="307"/>
        </w:trPr>
        <w:tc>
          <w:tcPr>
            <w:tcW w:w="774"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r>
      <w:tr w:rsidR="0075128B" w:rsidRPr="0075128B" w:rsidTr="0075128B">
        <w:tc>
          <w:tcPr>
            <w:tcW w:w="774"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2011/2</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13.7</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13.5</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15.0</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13.9</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12.7</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12.6</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13.5</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14.1</w:t>
            </w:r>
          </w:p>
        </w:tc>
      </w:tr>
      <w:tr w:rsidR="0075128B" w:rsidRPr="0075128B" w:rsidTr="0075128B">
        <w:tc>
          <w:tcPr>
            <w:tcW w:w="774"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2012/3</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14.5</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14.0</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15.0</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14.4</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13.5</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13.2</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15.0</w:t>
            </w:r>
          </w:p>
        </w:tc>
        <w:tc>
          <w:tcPr>
            <w:tcW w:w="1135"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14.6</w:t>
            </w:r>
          </w:p>
        </w:tc>
      </w:tr>
    </w:tbl>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lang w:val="en-US" w:eastAsia="en-GB"/>
        </w:rPr>
        <w:t>Key Stage 2:</w:t>
      </w:r>
    </w:p>
    <w:tbl>
      <w:tblPr>
        <w:tblW w:w="0" w:type="auto"/>
        <w:shd w:val="clear" w:color="auto" w:fill="FFF1CA"/>
        <w:tblCellMar>
          <w:left w:w="0" w:type="dxa"/>
          <w:right w:w="0" w:type="dxa"/>
        </w:tblCellMar>
        <w:tblLook w:val="04A0"/>
      </w:tblPr>
      <w:tblGrid>
        <w:gridCol w:w="860"/>
        <w:gridCol w:w="964"/>
        <w:gridCol w:w="1133"/>
        <w:gridCol w:w="963"/>
        <w:gridCol w:w="1132"/>
        <w:gridCol w:w="963"/>
        <w:gridCol w:w="1132"/>
        <w:gridCol w:w="963"/>
        <w:gridCol w:w="1132"/>
      </w:tblGrid>
      <w:tr w:rsidR="0075128B" w:rsidRPr="0075128B" w:rsidTr="0075128B">
        <w:tc>
          <w:tcPr>
            <w:tcW w:w="832" w:type="dxa"/>
            <w:tcBorders>
              <w:top w:val="single" w:sz="8" w:space="0" w:color="auto"/>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tc>
        <w:tc>
          <w:tcPr>
            <w:tcW w:w="8532" w:type="dxa"/>
            <w:gridSpan w:val="8"/>
            <w:tcBorders>
              <w:top w:val="single" w:sz="8" w:space="0" w:color="auto"/>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Average Points Scores (APS) at the end of Year 6</w:t>
            </w:r>
          </w:p>
        </w:tc>
      </w:tr>
      <w:tr w:rsidR="0075128B" w:rsidRPr="0075128B" w:rsidTr="0075128B">
        <w:tc>
          <w:tcPr>
            <w:tcW w:w="832"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tc>
        <w:tc>
          <w:tcPr>
            <w:tcW w:w="2133"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All subjects</w:t>
            </w:r>
          </w:p>
        </w:tc>
        <w:tc>
          <w:tcPr>
            <w:tcW w:w="2133"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Reading</w:t>
            </w:r>
          </w:p>
        </w:tc>
        <w:tc>
          <w:tcPr>
            <w:tcW w:w="2133"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Writing</w:t>
            </w:r>
          </w:p>
        </w:tc>
        <w:tc>
          <w:tcPr>
            <w:tcW w:w="2133" w:type="dxa"/>
            <w:gridSpan w:val="2"/>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Mathematics</w:t>
            </w:r>
          </w:p>
        </w:tc>
      </w:tr>
      <w:tr w:rsidR="0075128B" w:rsidRPr="0075128B" w:rsidTr="0075128B">
        <w:trPr>
          <w:trHeight w:val="307"/>
        </w:trPr>
        <w:tc>
          <w:tcPr>
            <w:tcW w:w="832"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School</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National</w:t>
            </w:r>
          </w:p>
        </w:tc>
      </w:tr>
      <w:tr w:rsidR="0075128B" w:rsidRPr="0075128B" w:rsidTr="0075128B">
        <w:trPr>
          <w:trHeight w:val="307"/>
        </w:trPr>
        <w:tc>
          <w:tcPr>
            <w:tcW w:w="832"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2011/2</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24.3</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25.4</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28.0</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25.8</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24.0</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24.4</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24.0</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25.6</w:t>
            </w:r>
          </w:p>
        </w:tc>
      </w:tr>
      <w:tr w:rsidR="0075128B" w:rsidRPr="0075128B" w:rsidTr="0075128B">
        <w:tc>
          <w:tcPr>
            <w:tcW w:w="832" w:type="dxa"/>
            <w:tcBorders>
              <w:top w:val="nil"/>
              <w:left w:val="single" w:sz="8" w:space="0" w:color="auto"/>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2012/3</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15.8</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26.6</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17.0</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27.2</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13.0</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25.6</w:t>
            </w:r>
          </w:p>
        </w:tc>
        <w:tc>
          <w:tcPr>
            <w:tcW w:w="982"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17.5</w:t>
            </w:r>
          </w:p>
        </w:tc>
        <w:tc>
          <w:tcPr>
            <w:tcW w:w="1151" w:type="dxa"/>
            <w:tcBorders>
              <w:top w:val="nil"/>
              <w:left w:val="nil"/>
              <w:bottom w:val="single" w:sz="8" w:space="0" w:color="auto"/>
              <w:right w:val="single" w:sz="8" w:space="0" w:color="auto"/>
            </w:tcBorders>
            <w:shd w:val="clear" w:color="auto" w:fill="FFF1CA"/>
            <w:tcMar>
              <w:top w:w="0" w:type="dxa"/>
              <w:left w:w="108" w:type="dxa"/>
              <w:bottom w:w="0" w:type="dxa"/>
              <w:right w:w="108" w:type="dxa"/>
            </w:tcMar>
            <w:hideMark/>
          </w:tcPr>
          <w:p w:rsidR="0075128B" w:rsidRPr="0075128B" w:rsidRDefault="0075128B" w:rsidP="0075128B">
            <w:pPr>
              <w:spacing w:before="100" w:beforeAutospacing="1" w:after="100" w:afterAutospacing="1" w:line="240" w:lineRule="auto"/>
              <w:jc w:val="center"/>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26.6</w:t>
            </w:r>
          </w:p>
        </w:tc>
      </w:tr>
    </w:tbl>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xml:space="preserve">2011-12:  50% of FSM pupils achieved Level 4 in English and Mathematics. 100 % FSM pupils made at least the expected progress of 2 levels in English and 50% made the expected two levels of progress in </w:t>
      </w:r>
      <w:proofErr w:type="spellStart"/>
      <w:r w:rsidRPr="0075128B">
        <w:rPr>
          <w:rFonts w:ascii="Calibri" w:eastAsia="Times New Roman" w:hAnsi="Calibri" w:cs="Times New Roman"/>
          <w:color w:val="333333"/>
          <w:lang w:val="en-US" w:eastAsia="en-GB"/>
        </w:rPr>
        <w:t>Maths</w:t>
      </w:r>
      <w:proofErr w:type="spellEnd"/>
      <w:r w:rsidRPr="0075128B">
        <w:rPr>
          <w:rFonts w:ascii="Calibri" w:eastAsia="Times New Roman" w:hAnsi="Calibri" w:cs="Times New Roman"/>
          <w:color w:val="333333"/>
          <w:lang w:val="en-US" w:eastAsia="en-GB"/>
        </w:rPr>
        <w:t>  Key Stage 2.</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xml:space="preserve">In 2012-13:  0% of FSM achieved Level 4 in English and Mathematics and    50% made the expected two levels of progress in English and </w:t>
      </w:r>
      <w:proofErr w:type="spellStart"/>
      <w:r w:rsidRPr="0075128B">
        <w:rPr>
          <w:rFonts w:ascii="Calibri" w:eastAsia="Times New Roman" w:hAnsi="Calibri" w:cs="Times New Roman"/>
          <w:color w:val="333333"/>
          <w:lang w:val="en-US" w:eastAsia="en-GB"/>
        </w:rPr>
        <w:t>Maths</w:t>
      </w:r>
      <w:proofErr w:type="spellEnd"/>
      <w:r w:rsidRPr="0075128B">
        <w:rPr>
          <w:rFonts w:ascii="Calibri" w:eastAsia="Times New Roman" w:hAnsi="Calibri" w:cs="Times New Roman"/>
          <w:color w:val="333333"/>
          <w:lang w:val="en-US" w:eastAsia="en-GB"/>
        </w:rPr>
        <w:t>.</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b/>
          <w:bCs/>
          <w:color w:val="333333"/>
          <w:sz w:val="30"/>
          <w:szCs w:val="30"/>
          <w:u w:val="single"/>
          <w:lang w:val="en-US" w:eastAsia="en-GB"/>
        </w:rPr>
        <w:t>Attendance and punctuality:</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t xml:space="preserve">We have again been given an attendance rating of ‘Green’ by the Local Authority, which means that attendance is good. In 2012, the attendance rate at </w:t>
      </w:r>
      <w:proofErr w:type="spellStart"/>
      <w:r w:rsidRPr="0075128B">
        <w:rPr>
          <w:rFonts w:ascii="Calibri" w:eastAsia="Times New Roman" w:hAnsi="Calibri" w:cs="Times New Roman"/>
          <w:color w:val="333333"/>
          <w:lang w:val="en-US" w:eastAsia="en-GB"/>
        </w:rPr>
        <w:t>Wrenbury</w:t>
      </w:r>
      <w:proofErr w:type="spellEnd"/>
      <w:r w:rsidRPr="0075128B">
        <w:rPr>
          <w:rFonts w:ascii="Calibri" w:eastAsia="Times New Roman" w:hAnsi="Calibri" w:cs="Times New Roman"/>
          <w:color w:val="333333"/>
          <w:lang w:val="en-US" w:eastAsia="en-GB"/>
        </w:rPr>
        <w:t xml:space="preserve"> School was 97%. The attendance rate has maintained since 2011. The attendance rate is in the top 20% of all schools.</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color w:val="333333"/>
          <w:lang w:val="en-US" w:eastAsia="en-GB"/>
        </w:rPr>
        <w:lastRenderedPageBreak/>
        <w:t>So far this academic year, pupil premium money has been </w:t>
      </w:r>
      <w:r w:rsidRPr="0075128B">
        <w:rPr>
          <w:rFonts w:ascii="Calibri" w:eastAsia="Times New Roman" w:hAnsi="Calibri" w:cs="Times New Roman"/>
          <w:i/>
          <w:iCs/>
          <w:color w:val="000000"/>
          <w:lang w:val="en-US" w:eastAsia="en-GB"/>
        </w:rPr>
        <w:t>used to support our aims:</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i/>
          <w:iCs/>
          <w:color w:val="000000"/>
          <w:lang w:val="en-US" w:eastAsia="en-GB"/>
        </w:rPr>
        <w:t>to provide Learning/</w:t>
      </w:r>
      <w:proofErr w:type="spellStart"/>
      <w:r w:rsidRPr="0075128B">
        <w:rPr>
          <w:rFonts w:ascii="Calibri" w:eastAsia="Times New Roman" w:hAnsi="Calibri" w:cs="Times New Roman"/>
          <w:i/>
          <w:iCs/>
          <w:color w:val="000000"/>
          <w:lang w:val="en-US" w:eastAsia="en-GB"/>
        </w:rPr>
        <w:t>Behaviour</w:t>
      </w:r>
      <w:proofErr w:type="spellEnd"/>
      <w:r w:rsidRPr="0075128B">
        <w:rPr>
          <w:rFonts w:ascii="Calibri" w:eastAsia="Times New Roman" w:hAnsi="Calibri" w:cs="Times New Roman"/>
          <w:i/>
          <w:iCs/>
          <w:color w:val="000000"/>
          <w:lang w:val="en-US" w:eastAsia="en-GB"/>
        </w:rPr>
        <w:t xml:space="preserve"> support</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i/>
          <w:iCs/>
          <w:color w:val="000000"/>
          <w:lang w:val="en-US" w:eastAsia="en-GB"/>
        </w:rPr>
        <w:t>to support swimming</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i/>
          <w:iCs/>
          <w:color w:val="000000"/>
          <w:lang w:val="en-US" w:eastAsia="en-GB"/>
        </w:rPr>
        <w:t>to support music tuition</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i/>
          <w:iCs/>
          <w:color w:val="000000"/>
          <w:lang w:val="en-US" w:eastAsia="en-GB"/>
        </w:rPr>
        <w:t>to support school visits (including residential visits)</w:t>
      </w:r>
    </w:p>
    <w:p w:rsidR="0075128B" w:rsidRPr="0075128B" w:rsidRDefault="0075128B" w:rsidP="0075128B">
      <w:pPr>
        <w:shd w:val="clear" w:color="auto" w:fill="FFF1CA"/>
        <w:spacing w:before="100" w:beforeAutospacing="1" w:after="100" w:afterAutospacing="1" w:line="240" w:lineRule="auto"/>
        <w:rPr>
          <w:rFonts w:ascii="Verdana" w:eastAsia="Times New Roman" w:hAnsi="Verdana" w:cs="Times New Roman"/>
          <w:color w:val="333333"/>
          <w:sz w:val="30"/>
          <w:szCs w:val="30"/>
          <w:lang w:eastAsia="en-GB"/>
        </w:rPr>
      </w:pPr>
      <w:r w:rsidRPr="0075128B">
        <w:rPr>
          <w:rFonts w:ascii="Calibri" w:eastAsia="Times New Roman" w:hAnsi="Calibri" w:cs="Times New Roman"/>
          <w:i/>
          <w:iCs/>
          <w:color w:val="000000"/>
          <w:lang w:val="en-US" w:eastAsia="en-GB"/>
        </w:rPr>
        <w:t> </w:t>
      </w:r>
    </w:p>
    <w:p w:rsidR="005315A0" w:rsidRDefault="005315A0"/>
    <w:sectPr w:rsidR="005315A0" w:rsidSect="00531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515"/>
    <w:multiLevelType w:val="multilevel"/>
    <w:tmpl w:val="A2FC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44368"/>
    <w:multiLevelType w:val="multilevel"/>
    <w:tmpl w:val="828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70CF8"/>
    <w:multiLevelType w:val="multilevel"/>
    <w:tmpl w:val="77E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5128B"/>
    <w:rsid w:val="005315A0"/>
    <w:rsid w:val="007512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128B"/>
  </w:style>
</w:styles>
</file>

<file path=word/webSettings.xml><?xml version="1.0" encoding="utf-8"?>
<w:webSettings xmlns:r="http://schemas.openxmlformats.org/officeDocument/2006/relationships" xmlns:w="http://schemas.openxmlformats.org/wordprocessingml/2006/main">
  <w:divs>
    <w:div w:id="8803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3435</Characters>
  <Application>Microsoft Office Word</Application>
  <DocSecurity>0</DocSecurity>
  <Lines>28</Lines>
  <Paragraphs>8</Paragraphs>
  <ScaleCrop>false</ScaleCrop>
  <Company>Brine Leas School</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1</cp:revision>
  <cp:lastPrinted>2015-01-02T23:51:00Z</cp:lastPrinted>
  <dcterms:created xsi:type="dcterms:W3CDTF">2015-01-02T23:50:00Z</dcterms:created>
  <dcterms:modified xsi:type="dcterms:W3CDTF">2015-01-02T23:52:00Z</dcterms:modified>
</cp:coreProperties>
</file>